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FC" w:rsidRPr="00B85C41" w:rsidRDefault="00B11BFC" w:rsidP="00B11BFC">
      <w:pPr>
        <w:autoSpaceDE w:val="0"/>
        <w:autoSpaceDN w:val="0"/>
        <w:rPr>
          <w:rFonts w:ascii="Helvetica" w:hAnsi="Helvetica" w:cs="Helvetica"/>
          <w:sz w:val="28"/>
          <w:szCs w:val="28"/>
        </w:rPr>
      </w:pPr>
      <w:r w:rsidRPr="00B85C41">
        <w:rPr>
          <w:rFonts w:ascii="Helvetica" w:hAnsi="Helvetica" w:cs="Helvetica"/>
          <w:sz w:val="28"/>
          <w:szCs w:val="28"/>
        </w:rPr>
        <w:t>Appel de candidatures francophones à titre de membre du Groupe d’étude canadien sur les soins de santé préventifs</w:t>
      </w:r>
    </w:p>
    <w:p w:rsidR="00B11BFC" w:rsidRPr="00B85C41" w:rsidRDefault="00B11BFC" w:rsidP="00B11BFC">
      <w:pPr>
        <w:autoSpaceDE w:val="0"/>
        <w:autoSpaceDN w:val="0"/>
        <w:rPr>
          <w:rFonts w:ascii="Helvetica" w:hAnsi="Helvetica" w:cs="Helvetica"/>
          <w:sz w:val="28"/>
          <w:szCs w:val="28"/>
        </w:rPr>
      </w:pPr>
    </w:p>
    <w:p w:rsidR="00B11BFC" w:rsidRPr="00B85C41" w:rsidRDefault="00B11BFC" w:rsidP="00B11BFC">
      <w:pPr>
        <w:autoSpaceDE w:val="0"/>
        <w:autoSpaceDN w:val="0"/>
        <w:rPr>
          <w:sz w:val="24"/>
          <w:szCs w:val="24"/>
        </w:rPr>
      </w:pPr>
      <w:r w:rsidRPr="00B85C41">
        <w:rPr>
          <w:rFonts w:ascii="Helvetica" w:hAnsi="Helvetica" w:cs="Helvetica"/>
          <w:sz w:val="24"/>
          <w:szCs w:val="24"/>
        </w:rPr>
        <w:t xml:space="preserve">Le </w:t>
      </w:r>
      <w:hyperlink r:id="rId5" w:history="1">
        <w:r w:rsidRPr="00B85C41">
          <w:rPr>
            <w:rStyle w:val="Lienhypertexte"/>
            <w:rFonts w:ascii="Helvetica" w:hAnsi="Helvetica" w:cs="Helvetica"/>
            <w:color w:val="3976BE"/>
            <w:sz w:val="24"/>
            <w:szCs w:val="24"/>
          </w:rPr>
          <w:t>Groupe d'étude canadien sur les soins de santé préventifs</w:t>
        </w:r>
      </w:hyperlink>
      <w:r w:rsidRPr="00B85C41">
        <w:rPr>
          <w:rFonts w:ascii="Helvetica" w:hAnsi="Helvetica" w:cs="Helvetica"/>
          <w:sz w:val="24"/>
          <w:szCs w:val="24"/>
        </w:rPr>
        <w:t xml:space="preserve"> (</w:t>
      </w:r>
      <w:r w:rsidRPr="00B85C41">
        <w:rPr>
          <w:rFonts w:ascii="Helvetica-Oblique" w:hAnsi="Helvetica-Oblique"/>
          <w:i/>
          <w:iCs/>
          <w:sz w:val="24"/>
          <w:szCs w:val="24"/>
        </w:rPr>
        <w:t xml:space="preserve">Canadian </w:t>
      </w:r>
      <w:proofErr w:type="spellStart"/>
      <w:r w:rsidRPr="00B85C41">
        <w:rPr>
          <w:rFonts w:ascii="Helvetica-Oblique" w:hAnsi="Helvetica-Oblique"/>
          <w:i/>
          <w:iCs/>
          <w:sz w:val="24"/>
          <w:szCs w:val="24"/>
        </w:rPr>
        <w:t>Task</w:t>
      </w:r>
      <w:proofErr w:type="spellEnd"/>
      <w:r w:rsidRPr="00B85C41">
        <w:rPr>
          <w:rFonts w:ascii="Helvetica-Oblique" w:hAnsi="Helvetica-Oblique"/>
          <w:i/>
          <w:iCs/>
          <w:sz w:val="24"/>
          <w:szCs w:val="24"/>
        </w:rPr>
        <w:t xml:space="preserve"> Force on </w:t>
      </w:r>
      <w:proofErr w:type="spellStart"/>
      <w:r w:rsidRPr="00B85C41">
        <w:rPr>
          <w:rFonts w:ascii="Helvetica-Oblique" w:hAnsi="Helvetica-Oblique"/>
          <w:i/>
          <w:iCs/>
          <w:sz w:val="24"/>
          <w:szCs w:val="24"/>
        </w:rPr>
        <w:t>Preventive</w:t>
      </w:r>
      <w:proofErr w:type="spellEnd"/>
      <w:r w:rsidRPr="00B85C41">
        <w:rPr>
          <w:rFonts w:ascii="Helvetica-Oblique" w:hAnsi="Helvetica-Oblique"/>
          <w:i/>
          <w:iCs/>
          <w:sz w:val="24"/>
          <w:szCs w:val="24"/>
        </w:rPr>
        <w:t xml:space="preserve"> Health Care</w:t>
      </w:r>
      <w:r w:rsidRPr="00B85C41">
        <w:rPr>
          <w:rFonts w:ascii="Helvetica" w:hAnsi="Helvetica" w:cs="Helvetica"/>
          <w:sz w:val="24"/>
          <w:szCs w:val="24"/>
        </w:rPr>
        <w:t>) est à la</w:t>
      </w:r>
      <w:r w:rsidRPr="00B85C41">
        <w:rPr>
          <w:rFonts w:ascii="Helvetica-Oblique" w:hAnsi="Helvetica-Oblique"/>
          <w:i/>
          <w:iCs/>
          <w:sz w:val="24"/>
          <w:szCs w:val="24"/>
        </w:rPr>
        <w:t xml:space="preserve"> </w:t>
      </w:r>
      <w:r w:rsidRPr="00B85C41">
        <w:rPr>
          <w:rFonts w:ascii="Helvetica" w:hAnsi="Helvetica" w:cs="Helvetica"/>
          <w:sz w:val="24"/>
          <w:szCs w:val="24"/>
        </w:rPr>
        <w:t xml:space="preserve">recherche de deux nouveaux membres d'ici au 30 octobre 2020. </w:t>
      </w:r>
    </w:p>
    <w:p w:rsidR="00B11BFC" w:rsidRPr="00B85C41" w:rsidRDefault="00B11BFC" w:rsidP="00B11BFC">
      <w:pPr>
        <w:autoSpaceDE w:val="0"/>
        <w:autoSpaceDN w:val="0"/>
        <w:rPr>
          <w:sz w:val="24"/>
          <w:szCs w:val="24"/>
        </w:rPr>
      </w:pPr>
      <w:r w:rsidRPr="00B85C41">
        <w:rPr>
          <w:rFonts w:ascii="Helvetica" w:hAnsi="Helvetica" w:cs="Helvetica"/>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 xml:space="preserve">Le Groupe d'étude canadien souhaite vivement la participation de </w:t>
      </w:r>
      <w:r w:rsidRPr="00B85C41">
        <w:rPr>
          <w:rFonts w:ascii="Helvetica" w:hAnsi="Helvetica" w:cs="Helvetica"/>
          <w:b/>
          <w:bCs/>
          <w:sz w:val="24"/>
          <w:szCs w:val="24"/>
        </w:rPr>
        <w:t>candidats francophones</w:t>
      </w:r>
      <w:r w:rsidRPr="00B85C41">
        <w:rPr>
          <w:rFonts w:ascii="Helvetica" w:hAnsi="Helvetica" w:cs="Helvetica"/>
          <w:sz w:val="24"/>
          <w:szCs w:val="24"/>
        </w:rPr>
        <w:t xml:space="preserve">, pour mieux refléter la contribution des experts d'expression française au développement de lignes directrices préventives fondées sur des données probantes et soutenir leur diffusion auprès des cliniciens, patients et gestionnaires de la francophonie canadienne et internationale. Bien que les débats et productions originales du Groupe se fassent en anglais, des efforts considérables ont été déployés au cours des dernières années pour intégrer les données de la francophonie </w:t>
      </w:r>
      <w:r w:rsidR="00886436" w:rsidRPr="00B85C41">
        <w:rPr>
          <w:rFonts w:ascii="Helvetica" w:hAnsi="Helvetica" w:cs="Helvetica"/>
          <w:sz w:val="24"/>
          <w:szCs w:val="24"/>
        </w:rPr>
        <w:t>à ses</w:t>
      </w:r>
      <w:r w:rsidRPr="00B85C41">
        <w:rPr>
          <w:rFonts w:ascii="Helvetica" w:hAnsi="Helvetica" w:cs="Helvetica"/>
          <w:sz w:val="24"/>
          <w:szCs w:val="24"/>
        </w:rPr>
        <w:t xml:space="preserve"> </w:t>
      </w:r>
      <w:r w:rsidR="00886436" w:rsidRPr="00B85C41">
        <w:rPr>
          <w:rFonts w:ascii="Helvetica" w:hAnsi="Helvetica" w:cs="Helvetica"/>
          <w:sz w:val="24"/>
          <w:szCs w:val="24"/>
        </w:rPr>
        <w:t xml:space="preserve">revues systématiques ainsi que </w:t>
      </w:r>
      <w:r w:rsidRPr="00B85C41">
        <w:rPr>
          <w:rFonts w:ascii="Helvetica" w:hAnsi="Helvetica" w:cs="Helvetica"/>
          <w:sz w:val="24"/>
          <w:szCs w:val="24"/>
        </w:rPr>
        <w:t>traduire et diffuser</w:t>
      </w:r>
      <w:r w:rsidR="00886436" w:rsidRPr="00B85C41">
        <w:rPr>
          <w:rFonts w:ascii="Helvetica" w:hAnsi="Helvetica" w:cs="Helvetica"/>
          <w:sz w:val="24"/>
          <w:szCs w:val="24"/>
        </w:rPr>
        <w:t xml:space="preserve"> ses productions en français.</w:t>
      </w:r>
      <w:r w:rsidRPr="00B85C41">
        <w:rPr>
          <w:rFonts w:ascii="Helvetica" w:hAnsi="Helvetica" w:cs="Helvetica"/>
          <w:sz w:val="24"/>
          <w:szCs w:val="24"/>
        </w:rPr>
        <w:t xml:space="preserve"> </w:t>
      </w:r>
    </w:p>
    <w:p w:rsidR="00B11BFC" w:rsidRPr="00B85C41" w:rsidRDefault="00B11BFC" w:rsidP="00B11BFC">
      <w:pPr>
        <w:autoSpaceDE w:val="0"/>
        <w:autoSpaceDN w:val="0"/>
        <w:rPr>
          <w:sz w:val="24"/>
          <w:szCs w:val="24"/>
        </w:rPr>
      </w:pPr>
      <w:r w:rsidRPr="00B85C41">
        <w:rPr>
          <w:rFonts w:ascii="Helvetica" w:hAnsi="Helvetica" w:cs="Helvetica"/>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Depuis plus de 40 ans, le Groupe d'étude canadien est une référence en soins de santé primaires préventifs, en évaluation critique, en méthodes d’examen des données probantes et en application des données probantes dans la prise de décisions cliniques. Ses membres offrent bénévolement leur temps et leur expertise au cours d'un mandat de quatre ans (renouvelable une fois), afin de contribuer à l’élaboration et à la promotion de ces lignes directrices. Le Groupe d'étude canadien est la principale source de lignes directrices de pratique clinique fondées sur des données probantes dans le domaine des soins de santé préventifs au Canada.</w:t>
      </w:r>
    </w:p>
    <w:p w:rsidR="00B11BFC" w:rsidRPr="00B85C41" w:rsidRDefault="00B11BFC" w:rsidP="00B11BFC">
      <w:pPr>
        <w:autoSpaceDE w:val="0"/>
        <w:autoSpaceDN w:val="0"/>
        <w:rPr>
          <w:sz w:val="24"/>
          <w:szCs w:val="24"/>
        </w:rPr>
      </w:pPr>
      <w:r w:rsidRPr="00B85C41">
        <w:rPr>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 xml:space="preserve">Depuis sa remise sur pied en 2009, le Groupe d'étude canadien a publié de nombreuses lignes directrices destinées aux cliniciens en soins de santé primaires: dépistages du cancer colorectal, du cancer du sein, du col de l'utérus, de la prostate, du poumon et de l'adénocarcinome </w:t>
      </w:r>
      <w:proofErr w:type="spellStart"/>
      <w:r w:rsidRPr="00B85C41">
        <w:rPr>
          <w:rFonts w:ascii="Helvetica" w:hAnsi="Helvetica" w:cs="Helvetica"/>
          <w:sz w:val="24"/>
          <w:szCs w:val="24"/>
        </w:rPr>
        <w:t>oesophagien</w:t>
      </w:r>
      <w:proofErr w:type="spellEnd"/>
      <w:r w:rsidRPr="00B85C41">
        <w:rPr>
          <w:rFonts w:ascii="Helvetica" w:hAnsi="Helvetica" w:cs="Helvetica"/>
          <w:sz w:val="24"/>
          <w:szCs w:val="24"/>
        </w:rPr>
        <w:t xml:space="preserve">; dépistages du diabète de type 2, de l’hypertension artérielle, de la dépression chez les adultes, de l’hépatite C, de la déficience visuelle, de la bactériurie asymptomatique pendant la grossesse, de l'anévrisme de l'aorte abdominale, de la déficience cognitive, du retard de développement chez les enfants, et du dysfonctionnement thyroïdien;  Il a également publié des recommandations concernant la pratique de l'examen pelvien, la prévention et la gestion de l’obésité juvénile et adulte et la prévention et le traitement du tabagisme chez les enfants et adolescents. Les lignes directrices publiées et en préparation peuvent être </w:t>
      </w:r>
      <w:r w:rsidR="00886436" w:rsidRPr="00B85C41">
        <w:rPr>
          <w:rFonts w:ascii="Helvetica" w:hAnsi="Helvetica" w:cs="Helvetica"/>
          <w:sz w:val="24"/>
          <w:szCs w:val="24"/>
        </w:rPr>
        <w:t>consult</w:t>
      </w:r>
      <w:r w:rsidRPr="00B85C41">
        <w:rPr>
          <w:rFonts w:ascii="Helvetica" w:hAnsi="Helvetica" w:cs="Helvetica"/>
          <w:sz w:val="24"/>
          <w:szCs w:val="24"/>
        </w:rPr>
        <w:t>ées sur le site web du Groupe d’étude.</w:t>
      </w:r>
    </w:p>
    <w:p w:rsidR="00B11BFC" w:rsidRPr="00B85C41" w:rsidRDefault="00B11BFC" w:rsidP="00B11BFC">
      <w:pPr>
        <w:autoSpaceDE w:val="0"/>
        <w:autoSpaceDN w:val="0"/>
        <w:rPr>
          <w:sz w:val="24"/>
          <w:szCs w:val="24"/>
        </w:rPr>
      </w:pPr>
      <w:r w:rsidRPr="00B85C41">
        <w:rPr>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 xml:space="preserve">Les candidats intéressés qui possèdent de l’expérience et des compétences dans l’un ou l’autre des domaines énumérés ci-dessous </w:t>
      </w:r>
      <w:r w:rsidR="00886436" w:rsidRPr="00B85C41">
        <w:rPr>
          <w:rFonts w:ascii="Helvetica" w:hAnsi="Helvetica" w:cs="Helvetica"/>
          <w:sz w:val="24"/>
          <w:szCs w:val="24"/>
        </w:rPr>
        <w:t xml:space="preserve">sont invités à </w:t>
      </w:r>
      <w:r w:rsidRPr="00B85C41">
        <w:rPr>
          <w:rFonts w:ascii="Helvetica" w:hAnsi="Helvetica" w:cs="Helvetica"/>
          <w:sz w:val="24"/>
          <w:szCs w:val="24"/>
        </w:rPr>
        <w:t>les mettre en évidence dans leur dossier de candidature.</w:t>
      </w:r>
    </w:p>
    <w:p w:rsidR="00B11BFC" w:rsidRPr="00B85C41" w:rsidRDefault="00B11BFC" w:rsidP="00B11BFC">
      <w:pPr>
        <w:autoSpaceDE w:val="0"/>
        <w:autoSpaceDN w:val="0"/>
        <w:rPr>
          <w:sz w:val="24"/>
          <w:szCs w:val="24"/>
        </w:rPr>
      </w:pPr>
      <w:r w:rsidRPr="00B85C41">
        <w:rPr>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lastRenderedPageBreak/>
        <w:t>Les candidats ne doivent pas avoir de conflits d’intérêts importants, qu’ils soient financiers, professionnels ou intellectuels, qui pourraient nuire à l’intégrité scientifique du travail du Groupe d'étude canadien. Ils doivent aussi être disposés à effectuer régulièrement des divulgations de conflits d’intérêts.</w:t>
      </w:r>
    </w:p>
    <w:p w:rsidR="00B11BFC" w:rsidRPr="00B85C41" w:rsidRDefault="00B11BFC" w:rsidP="00B11BFC">
      <w:pPr>
        <w:autoSpaceDE w:val="0"/>
        <w:autoSpaceDN w:val="0"/>
        <w:rPr>
          <w:sz w:val="24"/>
          <w:szCs w:val="24"/>
        </w:rPr>
      </w:pPr>
      <w:r w:rsidRPr="00B85C41">
        <w:rPr>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Le dossier de candidature doit comprendre :</w:t>
      </w:r>
    </w:p>
    <w:p w:rsidR="00B11BFC" w:rsidRPr="00B85C41" w:rsidRDefault="00B11BFC" w:rsidP="00B11BFC">
      <w:pPr>
        <w:numPr>
          <w:ilvl w:val="0"/>
          <w:numId w:val="1"/>
        </w:numPr>
        <w:autoSpaceDE w:val="0"/>
        <w:autoSpaceDN w:val="0"/>
        <w:ind w:hanging="720"/>
        <w:rPr>
          <w:sz w:val="24"/>
          <w:szCs w:val="24"/>
        </w:rPr>
      </w:pPr>
      <w:r w:rsidRPr="00B85C41">
        <w:rPr>
          <w:rFonts w:ascii="Helvetica" w:hAnsi="Helvetica" w:cs="Helvetica"/>
          <w:sz w:val="24"/>
          <w:szCs w:val="24"/>
        </w:rPr>
        <w:t>Le curriculum vitæ actuel du demandeur.</w:t>
      </w:r>
    </w:p>
    <w:p w:rsidR="00B11BFC" w:rsidRPr="00B85C41" w:rsidRDefault="00B11BFC" w:rsidP="00B11BFC">
      <w:pPr>
        <w:numPr>
          <w:ilvl w:val="0"/>
          <w:numId w:val="1"/>
        </w:numPr>
        <w:autoSpaceDE w:val="0"/>
        <w:autoSpaceDN w:val="0"/>
        <w:ind w:hanging="720"/>
        <w:rPr>
          <w:sz w:val="24"/>
          <w:szCs w:val="24"/>
        </w:rPr>
      </w:pPr>
      <w:r w:rsidRPr="00B85C41">
        <w:rPr>
          <w:rFonts w:ascii="Helvetica" w:hAnsi="Helvetica" w:cs="Helvetica"/>
          <w:sz w:val="24"/>
          <w:szCs w:val="24"/>
        </w:rPr>
        <w:t>Les coordonnées du candidat, y compris son adresse postale et son numéro de téléphone.</w:t>
      </w:r>
    </w:p>
    <w:p w:rsidR="00B11BFC" w:rsidRPr="00B11BFC" w:rsidRDefault="00B11BFC" w:rsidP="00B11BFC">
      <w:pPr>
        <w:numPr>
          <w:ilvl w:val="0"/>
          <w:numId w:val="1"/>
        </w:numPr>
        <w:autoSpaceDE w:val="0"/>
        <w:autoSpaceDN w:val="0"/>
        <w:ind w:hanging="720"/>
        <w:rPr>
          <w:sz w:val="24"/>
          <w:szCs w:val="24"/>
          <w:lang w:val="en-CA"/>
        </w:rPr>
      </w:pPr>
      <w:r w:rsidRPr="00B85C41">
        <w:rPr>
          <w:rFonts w:ascii="Helvetica" w:hAnsi="Helvetica" w:cs="Helvetica"/>
          <w:sz w:val="24"/>
          <w:szCs w:val="24"/>
        </w:rPr>
        <w:t>Une lettre d’accompagnement expliquant en qu</w:t>
      </w:r>
      <w:r w:rsidR="00886436" w:rsidRPr="00B85C41">
        <w:rPr>
          <w:rFonts w:ascii="Helvetica" w:hAnsi="Helvetica" w:cs="Helvetica"/>
          <w:sz w:val="24"/>
          <w:szCs w:val="24"/>
        </w:rPr>
        <w:t>o</w:t>
      </w:r>
      <w:r w:rsidRPr="00B85C41">
        <w:rPr>
          <w:rFonts w:ascii="Helvetica" w:hAnsi="Helvetica" w:cs="Helvetica"/>
          <w:sz w:val="24"/>
          <w:szCs w:val="24"/>
        </w:rPr>
        <w:t xml:space="preserve">i le candidat répond aux </w:t>
      </w:r>
      <w:r w:rsidRPr="00B85C41">
        <w:rPr>
          <w:rFonts w:ascii="Helvetica-Bold" w:hAnsi="Helvetica-Bold"/>
          <w:b/>
          <w:bCs/>
          <w:sz w:val="24"/>
          <w:szCs w:val="24"/>
        </w:rPr>
        <w:t>exigences de qualification</w:t>
      </w:r>
      <w:r w:rsidRPr="00B85C41">
        <w:rPr>
          <w:rFonts w:ascii="Helvetica" w:hAnsi="Helvetica" w:cs="Helvetica"/>
          <w:sz w:val="24"/>
          <w:szCs w:val="24"/>
        </w:rPr>
        <w:t xml:space="preserve"> et de quelle manière il pourrait contribuer au Groupe d’étude. </w:t>
      </w:r>
      <w:r w:rsidRPr="00B11BFC">
        <w:rPr>
          <w:rFonts w:ascii="Helvetica" w:hAnsi="Helvetica" w:cs="Helvetica"/>
          <w:sz w:val="24"/>
          <w:szCs w:val="24"/>
          <w:lang w:val="en-CA"/>
        </w:rPr>
        <w:t>(</w:t>
      </w:r>
      <w:proofErr w:type="spellStart"/>
      <w:r w:rsidRPr="00B11BFC">
        <w:rPr>
          <w:rFonts w:ascii="Helvetica" w:hAnsi="Helvetica" w:cs="Helvetica"/>
          <w:sz w:val="24"/>
          <w:szCs w:val="24"/>
          <w:lang w:val="en-CA"/>
        </w:rPr>
        <w:t>Voir</w:t>
      </w:r>
      <w:proofErr w:type="spellEnd"/>
      <w:r w:rsidRPr="00B11BFC">
        <w:rPr>
          <w:rFonts w:ascii="Helvetica" w:hAnsi="Helvetica" w:cs="Helvetica"/>
          <w:sz w:val="24"/>
          <w:szCs w:val="24"/>
          <w:lang w:val="en-CA"/>
        </w:rPr>
        <w:t xml:space="preserve"> </w:t>
      </w:r>
      <w:proofErr w:type="spellStart"/>
      <w:r w:rsidRPr="00B11BFC">
        <w:rPr>
          <w:rFonts w:ascii="Helvetica" w:hAnsi="Helvetica" w:cs="Helvetica"/>
          <w:sz w:val="24"/>
          <w:szCs w:val="24"/>
          <w:lang w:val="en-CA"/>
        </w:rPr>
        <w:t>l’annexe</w:t>
      </w:r>
      <w:proofErr w:type="spellEnd"/>
      <w:r w:rsidRPr="00B11BFC">
        <w:rPr>
          <w:rFonts w:ascii="Helvetica" w:hAnsi="Helvetica" w:cs="Helvetica"/>
          <w:sz w:val="24"/>
          <w:szCs w:val="24"/>
          <w:lang w:val="en-CA"/>
        </w:rPr>
        <w:t xml:space="preserve"> A)</w:t>
      </w:r>
    </w:p>
    <w:p w:rsidR="00B11BFC" w:rsidRPr="00B85C41" w:rsidRDefault="00B11BFC" w:rsidP="00B11BFC">
      <w:pPr>
        <w:numPr>
          <w:ilvl w:val="0"/>
          <w:numId w:val="1"/>
        </w:numPr>
        <w:autoSpaceDE w:val="0"/>
        <w:autoSpaceDN w:val="0"/>
        <w:ind w:hanging="720"/>
        <w:rPr>
          <w:sz w:val="24"/>
          <w:szCs w:val="24"/>
        </w:rPr>
      </w:pPr>
      <w:r w:rsidRPr="00B85C41">
        <w:rPr>
          <w:rFonts w:ascii="Helvetica" w:hAnsi="Helvetica" w:cs="Helvetica"/>
          <w:sz w:val="24"/>
          <w:szCs w:val="24"/>
        </w:rPr>
        <w:t>Trois lettres de recommandation à l’appui de la candidature et pouvant répondre aux exigences de qualification.</w:t>
      </w:r>
    </w:p>
    <w:p w:rsidR="00B11BFC" w:rsidRPr="00B85C41" w:rsidRDefault="00B11BFC" w:rsidP="00B11BFC">
      <w:pPr>
        <w:autoSpaceDE w:val="0"/>
        <w:autoSpaceDN w:val="0"/>
        <w:ind w:left="720"/>
        <w:rPr>
          <w:sz w:val="24"/>
          <w:szCs w:val="24"/>
        </w:rPr>
      </w:pPr>
      <w:r w:rsidRPr="00B85C41">
        <w:rPr>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 xml:space="preserve">Envoyer le dossier complet de mise en candidature à Madame Chantal Plante, gestionnaire des affaires, Agence de la santé publique du Canada, par courriel à </w:t>
      </w:r>
      <w:hyperlink r:id="rId6" w:history="1">
        <w:r w:rsidRPr="00B85C41">
          <w:rPr>
            <w:rStyle w:val="Lienhypertexte"/>
            <w:rFonts w:ascii="Helvetica" w:hAnsi="Helvetica" w:cs="Helvetica"/>
            <w:color w:val="3976BE"/>
            <w:sz w:val="24"/>
            <w:szCs w:val="24"/>
            <w:u w:val="none"/>
          </w:rPr>
          <w:t>chantal.plante@canada.ca</w:t>
        </w:r>
      </w:hyperlink>
      <w:r w:rsidRPr="00B85C41">
        <w:rPr>
          <w:rFonts w:ascii="Helvetica" w:hAnsi="Helvetica" w:cs="Helvetica"/>
          <w:sz w:val="24"/>
          <w:szCs w:val="24"/>
        </w:rPr>
        <w:t xml:space="preserve"> </w:t>
      </w:r>
      <w:r w:rsidRPr="00B85C41">
        <w:rPr>
          <w:rFonts w:ascii="Helvetica-Bold" w:hAnsi="Helvetica-Bold"/>
          <w:b/>
          <w:bCs/>
          <w:sz w:val="24"/>
          <w:szCs w:val="24"/>
        </w:rPr>
        <w:t>avant le 30 octobre 2020</w:t>
      </w:r>
      <w:r w:rsidRPr="00B85C41">
        <w:rPr>
          <w:rFonts w:ascii="Helvetica" w:hAnsi="Helvetica" w:cs="Helvetica"/>
          <w:sz w:val="24"/>
          <w:szCs w:val="24"/>
        </w:rPr>
        <w:t>. Un comité de sélection examinera ces propositions en fonction des critères ci-joints. La nomination d’un candidat sera recommandée et approuvée par l’administratrice en chef de la santé publique, l’Agence de la santé publique du Canada et le directeur général du perfectionnement professionnel et du soutien à la pratique du Collège des médecins de famille du Canada.</w:t>
      </w:r>
    </w:p>
    <w:p w:rsidR="00B11BFC" w:rsidRPr="00B85C41" w:rsidRDefault="00B11BFC" w:rsidP="00B11BFC">
      <w:pPr>
        <w:autoSpaceDE w:val="0"/>
        <w:autoSpaceDN w:val="0"/>
        <w:rPr>
          <w:sz w:val="24"/>
          <w:szCs w:val="24"/>
        </w:rPr>
      </w:pPr>
      <w:r w:rsidRPr="00B85C41">
        <w:rPr>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Merci de votre aide. Sincèrement,</w:t>
      </w:r>
    </w:p>
    <w:p w:rsidR="00B11BFC" w:rsidRPr="00B85C41" w:rsidRDefault="00B11BFC" w:rsidP="00B11BFC">
      <w:pPr>
        <w:autoSpaceDE w:val="0"/>
        <w:autoSpaceDN w:val="0"/>
        <w:rPr>
          <w:sz w:val="24"/>
          <w:szCs w:val="24"/>
        </w:rPr>
      </w:pPr>
      <w:r w:rsidRPr="00B85C41">
        <w:rPr>
          <w:sz w:val="24"/>
          <w:szCs w:val="24"/>
        </w:rPr>
        <w:t> </w:t>
      </w:r>
    </w:p>
    <w:p w:rsidR="00B11BFC" w:rsidRPr="00B85C41" w:rsidRDefault="00B11BFC" w:rsidP="00B11BFC">
      <w:pPr>
        <w:autoSpaceDE w:val="0"/>
        <w:autoSpaceDN w:val="0"/>
        <w:rPr>
          <w:sz w:val="24"/>
          <w:szCs w:val="24"/>
        </w:rPr>
      </w:pPr>
      <w:r w:rsidRPr="00B85C41">
        <w:rPr>
          <w:rFonts w:ascii="Helvetica" w:hAnsi="Helvetica" w:cs="Helvetica"/>
          <w:sz w:val="24"/>
          <w:szCs w:val="24"/>
        </w:rPr>
        <w:t xml:space="preserve">Brett </w:t>
      </w:r>
      <w:proofErr w:type="spellStart"/>
      <w:r w:rsidRPr="00B85C41">
        <w:rPr>
          <w:rFonts w:ascii="Helvetica" w:hAnsi="Helvetica" w:cs="Helvetica"/>
          <w:sz w:val="24"/>
          <w:szCs w:val="24"/>
        </w:rPr>
        <w:t>Thombs</w:t>
      </w:r>
      <w:proofErr w:type="spellEnd"/>
      <w:r w:rsidRPr="00B85C41">
        <w:rPr>
          <w:rFonts w:ascii="Helvetica" w:hAnsi="Helvetica" w:cs="Helvetica"/>
          <w:sz w:val="24"/>
          <w:szCs w:val="24"/>
        </w:rPr>
        <w:t>, PhD</w:t>
      </w:r>
      <w:r w:rsidR="00B85C41">
        <w:rPr>
          <w:rFonts w:ascii="Tahoma" w:hAnsi="Tahoma" w:cs="Tahoma"/>
          <w:sz w:val="24"/>
          <w:szCs w:val="24"/>
        </w:rPr>
        <w:t xml:space="preserve">, </w:t>
      </w:r>
      <w:bookmarkStart w:id="0" w:name="_GoBack"/>
      <w:bookmarkEnd w:id="0"/>
      <w:r w:rsidRPr="00B85C41">
        <w:rPr>
          <w:rFonts w:ascii="Helvetica" w:hAnsi="Helvetica" w:cs="Helvetica"/>
          <w:sz w:val="24"/>
          <w:szCs w:val="24"/>
        </w:rPr>
        <w:t>Président, Groupe d’étude canadien sur les soins de santé préventifs</w:t>
      </w:r>
    </w:p>
    <w:p w:rsidR="00B11BFC" w:rsidRPr="00B85C41" w:rsidRDefault="00B11BFC" w:rsidP="00B11BFC">
      <w:pPr>
        <w:autoSpaceDE w:val="0"/>
        <w:autoSpaceDN w:val="0"/>
        <w:rPr>
          <w:sz w:val="24"/>
          <w:szCs w:val="24"/>
        </w:rPr>
      </w:pPr>
      <w:r w:rsidRPr="00B85C41">
        <w:rPr>
          <w:rFonts w:ascii="Calibri-Bold" w:hAnsi="Calibri-Bold"/>
          <w:b/>
          <w:bCs/>
          <w:color w:val="242424"/>
          <w:sz w:val="24"/>
          <w:szCs w:val="24"/>
        </w:rPr>
        <w:t> </w:t>
      </w:r>
    </w:p>
    <w:p w:rsidR="00B11BFC" w:rsidRPr="00B85C41" w:rsidRDefault="00B11BFC" w:rsidP="00B11BFC">
      <w:pPr>
        <w:autoSpaceDE w:val="0"/>
        <w:autoSpaceDN w:val="0"/>
        <w:rPr>
          <w:sz w:val="24"/>
          <w:szCs w:val="24"/>
        </w:rPr>
      </w:pPr>
      <w:r w:rsidRPr="00B85C41">
        <w:rPr>
          <w:rFonts w:ascii="Helvetica-Bold" w:hAnsi="Helvetica-Bold"/>
          <w:b/>
          <w:bCs/>
          <w:color w:val="242424"/>
          <w:sz w:val="24"/>
          <w:szCs w:val="24"/>
        </w:rPr>
        <w:t>Annexe A</w:t>
      </w:r>
    </w:p>
    <w:p w:rsidR="00B11BFC" w:rsidRPr="00B85C41" w:rsidRDefault="00B11BFC" w:rsidP="00B11BFC">
      <w:pPr>
        <w:autoSpaceDE w:val="0"/>
        <w:autoSpaceDN w:val="0"/>
        <w:rPr>
          <w:sz w:val="24"/>
          <w:szCs w:val="24"/>
        </w:rPr>
      </w:pPr>
      <w:r w:rsidRPr="00B85C41">
        <w:rPr>
          <w:rFonts w:ascii="Helvetica-Bold" w:hAnsi="Helvetica-Bold"/>
          <w:b/>
          <w:bCs/>
          <w:color w:val="242424"/>
          <w:sz w:val="24"/>
          <w:szCs w:val="24"/>
        </w:rPr>
        <w:t>Qualifications requises pour les membres du Groupe d’étude canadien sur les soins de santé préventifs:</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t>Expertise en prévention des maladies et promotion de la santé chez les enfants ou les adultes;</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t>Expérience des examens systématiques, de leur méthodologie et de leur application à la prise de décisions cliniques ou aux politiques;</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t>Expérience de la production de lignes directrices;</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t>Capacité de faire preuve de rigueur et d’ouverture d’esprit lors de l’examen et de l’interprétation des preuves scientifiques et des recommandations connexes;</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t>Capacité de collaborer avec des pairs;</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t>Capacité d’allouer le temps nécessaire afin de participer activement au Groupe d’étude;</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t>L’attention la plus importante sera accordée aux personnes qui sont largement reconnues pour leur leadership universitaire dans leur domaine d’expertise;</w:t>
      </w:r>
    </w:p>
    <w:p w:rsidR="00B11BFC" w:rsidRPr="00B85C41" w:rsidRDefault="00B11BFC" w:rsidP="00B11BFC">
      <w:pPr>
        <w:numPr>
          <w:ilvl w:val="0"/>
          <w:numId w:val="2"/>
        </w:numPr>
        <w:autoSpaceDE w:val="0"/>
        <w:autoSpaceDN w:val="0"/>
        <w:ind w:hanging="720"/>
        <w:rPr>
          <w:sz w:val="24"/>
          <w:szCs w:val="24"/>
        </w:rPr>
      </w:pPr>
      <w:r w:rsidRPr="00B85C41">
        <w:rPr>
          <w:rFonts w:ascii="Helvetica" w:hAnsi="Helvetica" w:cs="Helvetica"/>
          <w:color w:val="222222"/>
          <w:sz w:val="24"/>
          <w:szCs w:val="24"/>
        </w:rPr>
        <w:lastRenderedPageBreak/>
        <w:t xml:space="preserve">Une expérience en médecine familiale sera considérée comme un atout. </w:t>
      </w:r>
    </w:p>
    <w:p w:rsidR="00565DD9" w:rsidRPr="00B85C41" w:rsidRDefault="00565DD9" w:rsidP="00B11BFC">
      <w:pPr>
        <w:rPr>
          <w:rFonts w:ascii="Helvetica-Bold" w:hAnsi="Helvetica-Bold"/>
          <w:b/>
          <w:bCs/>
          <w:sz w:val="24"/>
          <w:szCs w:val="24"/>
        </w:rPr>
      </w:pPr>
    </w:p>
    <w:p w:rsidR="00B11BFC" w:rsidRPr="00B85C41" w:rsidRDefault="00B11BFC" w:rsidP="00B11BFC">
      <w:pPr>
        <w:rPr>
          <w:sz w:val="24"/>
          <w:szCs w:val="24"/>
        </w:rPr>
      </w:pPr>
      <w:r w:rsidRPr="00B85C41">
        <w:rPr>
          <w:rFonts w:ascii="Helvetica-Bold" w:hAnsi="Helvetica-Bold"/>
          <w:b/>
          <w:bCs/>
          <w:sz w:val="24"/>
          <w:szCs w:val="24"/>
        </w:rPr>
        <w:t>Les membres du Groupe d’étude canadien sur les soins de santé préventifs sont nommés pour un mandat de quatre ans, renouvelable une fois.</w:t>
      </w:r>
    </w:p>
    <w:p w:rsidR="00B42633" w:rsidRPr="00B11BFC" w:rsidRDefault="00B85C41">
      <w:pPr>
        <w:rPr>
          <w:sz w:val="24"/>
          <w:szCs w:val="24"/>
        </w:rPr>
      </w:pPr>
    </w:p>
    <w:sectPr w:rsidR="00B42633" w:rsidRPr="00B11B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Oblique">
    <w:altName w:val="Helvetica"/>
    <w:charset w:val="00"/>
    <w:family w:val="auto"/>
    <w:pitch w:val="default"/>
  </w:font>
  <w:font w:name="Helvetica-Bold">
    <w:altName w:val="Helvetica"/>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C"/>
    <w:rsid w:val="0028000E"/>
    <w:rsid w:val="004C375F"/>
    <w:rsid w:val="00565DD9"/>
    <w:rsid w:val="008716D2"/>
    <w:rsid w:val="00886436"/>
    <w:rsid w:val="00B11BFC"/>
    <w:rsid w:val="00B85C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916B"/>
  <w15:chartTrackingRefBased/>
  <w15:docId w15:val="{B689F46B-E8CE-4423-961E-DE883D4F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1B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tal.plante@canada.ca" TargetMode="External"/><Relationship Id="rId5" Type="http://schemas.openxmlformats.org/officeDocument/2006/relationships/hyperlink" Target="https://can01.safelinks.protection.outlook.com/?url=https%3A%2F%2Fcanadiantaskforce.ca%2F%3Flang%3Dfr&amp;data=02%7C01%7Cstephane.groulx%40msss.gouv.qc.ca%7C87405e25529f4e01504f08d8539349ac%7C06e1fe285f8b4075bf6cae24be1a7992%7C0%7C0%7C637351239350110805&amp;sdata=n2iUPvSIudQyWH3Ri2USwnpWyaQ0hJ4O3kHWmP%2BQ8t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Groulx</dc:creator>
  <cp:keywords/>
  <dc:description/>
  <cp:lastModifiedBy>Danielle Schirmer</cp:lastModifiedBy>
  <cp:revision>2</cp:revision>
  <dcterms:created xsi:type="dcterms:W3CDTF">2020-09-08T17:03:00Z</dcterms:created>
  <dcterms:modified xsi:type="dcterms:W3CDTF">2020-09-08T17:03:00Z</dcterms:modified>
</cp:coreProperties>
</file>